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5"/>
        <w:gridCol w:w="1490"/>
        <w:gridCol w:w="1489"/>
        <w:gridCol w:w="1490"/>
        <w:gridCol w:w="4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财政拨款安排的“三公”经费预算表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单位名称：</w:t>
            </w:r>
            <w:bookmarkStart w:id="0" w:name="PO_part2Table8DivName1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湛江市妇女联合会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bookmarkEnd w:id="0"/>
          </w:p>
        </w:tc>
        <w:tc>
          <w:tcPr>
            <w:tcW w:w="7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        目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一般公共预算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政府性基金预算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“三公”经费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5.48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5.48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其中：（一）因公出国（境）支出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（二）公务用车购置及运行维护支出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2.51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2.51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1.公务用车购置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2.公务用车运行维护费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2.51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2.51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（三）公务接待费支出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2.97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2.97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D6E0D"/>
    <w:rsid w:val="6AF16B1F"/>
    <w:rsid w:val="6B4D6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2019-02-14T03:26:00Z</dcterms:created>
  <dc:creator>符小丹</dc:creator>
  <cp:lastModifiedBy>符小丹</cp:lastModifiedBy>
  <dcterms:modified xsi:type="dcterms:W3CDTF">2019-02-14T03:27:24Z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